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Style w:val="cat-Dategrp-8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анное постановление составлено </w:t>
      </w:r>
      <w:r>
        <w:rPr>
          <w:rStyle w:val="cat-Dategrp-7rplc-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2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прокурора-помощника Ханты-Мансийского межрайонного прокурора </w:t>
      </w:r>
      <w:r>
        <w:rPr>
          <w:rStyle w:val="cat-FIOgrp-22rplc-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ст.20.35 КоАП РФ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заведующего по административно-хозяйственной работе МБДОУ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 «Одуванчик»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</w:t>
      </w:r>
      <w:r>
        <w:rPr>
          <w:rStyle w:val="cat-UserDefinedgrp-3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 </w:t>
      </w:r>
      <w:r>
        <w:rPr>
          <w:rStyle w:val="cat-UserDefinedgrp-3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по административно-хозяйственной работе МБДОУ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ответственным за антитеррористическую безопасность за проведение мероприятий по обеспечению антитеррористической защищенности и организации взаимодействия с территориальными органами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месту исполнения своих должностных обязанностей по адресу: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ненадлежащего исполнения своих должностных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обязанностей,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.«а» п.25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п.п.30, 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№1006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принял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к </w:t>
      </w:r>
      <w:r>
        <w:rPr>
          <w:rFonts w:ascii="Times New Roman" w:eastAsia="Times New Roman" w:hAnsi="Times New Roman" w:cs="Times New Roman"/>
          <w:sz w:val="28"/>
          <w:szCs w:val="28"/>
        </w:rPr>
        <w:t>оснащению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категория 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предотвращение паники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ст.20.35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помощью защитника не воспользовался,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не оспаривал, по обстоятельствам вменяемого правонарушения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не оборудован автономной системой оповещения людей,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проверки 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нарушена непрерывность видеонаблюдения, </w:t>
      </w:r>
      <w:r>
        <w:rPr>
          <w:rFonts w:ascii="Times New Roman" w:eastAsia="Times New Roman" w:hAnsi="Times New Roman" w:cs="Times New Roman"/>
          <w:sz w:val="28"/>
          <w:szCs w:val="28"/>
        </w:rPr>
        <w:t>но в настоящее время нарушения устраняются.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привлечь </w:t>
      </w:r>
      <w:r>
        <w:rPr>
          <w:rStyle w:val="cat-FIOgrp-2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указав, что должностным лицом не приняты всевозможные меры к устранению и допущению нарушений законодательства об ан</w:t>
      </w:r>
      <w:r>
        <w:rPr>
          <w:rFonts w:ascii="Times New Roman" w:eastAsia="Times New Roman" w:hAnsi="Times New Roman" w:cs="Times New Roman"/>
          <w:sz w:val="28"/>
          <w:szCs w:val="28"/>
        </w:rPr>
        <w:t>титеррористической защищенности.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ч.6 ст.28 Федерального закона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№273-Ф3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(далее-Федеральный закон №273-ФЗ)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ч.7 ст</w:t>
      </w:r>
      <w:r>
        <w:rPr>
          <w:rFonts w:ascii="Times New Roman" w:eastAsia="Times New Roman" w:hAnsi="Times New Roman" w:cs="Times New Roman"/>
          <w:sz w:val="28"/>
          <w:szCs w:val="28"/>
        </w:rPr>
        <w:t>.28 Федерального закона №273-ФЗ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п.п.4,6 ст.3 Федерального закона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№35-ФЗ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(далее-Федеральный закона №35-ФЗ)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предупреждению терроризма, в том числе, по выявлению и последующему устранению причин и условий, способствующих совершению террористических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актов (профилактика терроризма).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 антитеррористической защищенностью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бъекта (территории)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подп.4 п.2 ст.5 Федерального закона №35-ФЗ 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обязательные для выполнения </w:t>
      </w:r>
      <w:hyperlink r:id="rId4" w:anchor="/multilink/12145408/paragraph/29366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атегории объектов (территорий), </w:t>
      </w:r>
      <w:hyperlink r:id="rId4" w:anchor="/document/7055249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 указанных требований и контроля за их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полнением, порядок разработки и </w:t>
      </w:r>
      <w:hyperlink r:id="rId4" w:anchor="/multilink/12145408/paragraph/29366/number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паспорта безопасности таких объектов (территорий) (за исключением объектов транспортной инфраструктуры, транспортных средств и объектов топл</w:t>
      </w:r>
      <w:r>
        <w:rPr>
          <w:rFonts w:ascii="Times New Roman" w:eastAsia="Times New Roman" w:hAnsi="Times New Roman" w:cs="Times New Roman"/>
          <w:sz w:val="28"/>
          <w:szCs w:val="28"/>
        </w:rPr>
        <w:t>ивно-энергетического комплекса).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2585152/entry/10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(далее-Требования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),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п.25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объектов (территорий) третьей категории опасности дополнительно к мероприятиям, предусмотренным </w:t>
      </w:r>
      <w:hyperlink r:id="rId4" w:anchor="/document/72585152/entry/10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осуществляются следующие мероприятия: оснащение объектов (территорий) системами видеонаблюдения, охранной сигнализации.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д» п.24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антитеррористической защищенности объектов (территорий) осуществляется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оповещения и управления эвакуацией людей на объекте (территории) должна обеспечивать оперативное информирование лиц,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Ханты-Мансийской межрайонной прокуратурой совместно с Ханты-Мансийским отделом вневедомственной охраны –филиал ФГКУ «УВО ВНГ России по Ханты-Мансийскому автономному округу-Югре проведена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об антитеррористической защищенности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выявлены нарушения, выразившиеся в </w:t>
      </w:r>
      <w:r>
        <w:rPr>
          <w:rFonts w:ascii="Times New Roman" w:eastAsia="Times New Roman" w:hAnsi="Times New Roman" w:cs="Times New Roman"/>
          <w:sz w:val="28"/>
          <w:szCs w:val="28"/>
        </w:rPr>
        <w:t>неоснащении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оводителя МБДОУ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№19-Л 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 на работу заместителем по АХР с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руководителя Учреждения №166-О от </w:t>
      </w:r>
      <w:r>
        <w:rPr>
          <w:rStyle w:val="cat-Dategrp-1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ответственным лицом за антитеррористическую безопасность.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№147-О от </w:t>
      </w:r>
      <w:r>
        <w:rPr>
          <w:rStyle w:val="cat-Dategrp-1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ответственным лицом за проведение мероприятий по обеспечению антитеррористической защищенности, организацию взаимодействия с отделениями ФСБ, МВД и </w:t>
      </w:r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установленных обстоятельств следует, что </w:t>
      </w:r>
      <w:r>
        <w:rPr>
          <w:rStyle w:val="cat-FIOgrp-25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занимаемой должности и своих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ных обязанностей, не предпринял все зависящие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по соблюдению исполнения законодательства в области обеспечения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объективно препятствующих выполнению данных требований, 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cat-FIOgrp-2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обеспечения безопасности и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совокупностью, исследованных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дела об административном правонарушении от </w:t>
      </w:r>
      <w:r>
        <w:rPr>
          <w:rStyle w:val="cat-Dategrp-18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вынесенным с участием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объяснению которого с административным правонарушением он согласен,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решения заместителя Ханты-Мансийского межрайонного прокурора о проведении проверки №4 от </w:t>
      </w:r>
      <w:r>
        <w:rPr>
          <w:rStyle w:val="cat-Dategrp-19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-информационным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отдела вневедомственной охраны –филиала ФГКУ «УВО ВНГ России по Ханты-Мансийскому автономному округу-Югре о результатах проведенной совместной с Ханты-Мансийской межрайонной прокуратурой проверки;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заведующего МБДОУ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Одуванчик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23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наличии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5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зданий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деятельность которого допускает массовое скопления людей,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находятся под существенной угрозой предотвращения актов незаконного вмешательства, поскольку не обеспечена безопасность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их устойчивого и безопасного функционирования, и, как следствие, объект не защищён от актов незаконного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5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мировой судья считает возможным назначить </w:t>
      </w:r>
      <w:r>
        <w:rPr>
          <w:rStyle w:val="cat-FIOgrp-25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заведующего по административно-хозяйственной работе МБДОУ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 «Одуванчик»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</w:t>
      </w:r>
      <w:r>
        <w:rPr>
          <w:rStyle w:val="cat-UserDefinedgrp-37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27rplc-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 1 16 01203 01 9000 140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0412365400805003482520181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142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6rplc-6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26rplc-6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605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Dategrp-8rplc-3">
    <w:name w:val="cat-Date grp-8 rplc-3"/>
    <w:basedOn w:val="DefaultParagraphFont"/>
  </w:style>
  <w:style w:type="character" w:customStyle="1" w:styleId="cat-Dategrp-7rplc-4">
    <w:name w:val="cat-Date grp-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0rplc-7">
    <w:name w:val="cat-FIO grp-20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FIOgrp-22rplc-9">
    <w:name w:val="cat-FIO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25rplc-23">
    <w:name w:val="cat-FIO grp-25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FIOgrp-25rplc-38">
    <w:name w:val="cat-FIO grp-25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5rplc-40">
    <w:name w:val="cat-FIO grp-25 rplc-40"/>
    <w:basedOn w:val="DefaultParagraphFont"/>
  </w:style>
  <w:style w:type="character" w:customStyle="1" w:styleId="cat-FIOgrp-25rplc-41">
    <w:name w:val="cat-FIO grp-25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FIOgrp-25rplc-43">
    <w:name w:val="cat-FIO grp-25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FIOgrp-25rplc-50">
    <w:name w:val="cat-FIO grp-25 rplc-50"/>
    <w:basedOn w:val="DefaultParagraphFont"/>
  </w:style>
  <w:style w:type="character" w:customStyle="1" w:styleId="cat-FIOgrp-25rplc-51">
    <w:name w:val="cat-FIO grp-25 rplc-51"/>
    <w:basedOn w:val="DefaultParagraphFont"/>
  </w:style>
  <w:style w:type="character" w:customStyle="1" w:styleId="cat-FIOgrp-25rplc-52">
    <w:name w:val="cat-FIO grp-25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UserDefinedgrp-37rplc-55">
    <w:name w:val="cat-UserDefined grp-37 rplc-55"/>
    <w:basedOn w:val="DefaultParagraphFont"/>
  </w:style>
  <w:style w:type="character" w:customStyle="1" w:styleId="cat-Sumgrp-27rplc-56">
    <w:name w:val="cat-Sum grp-27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FIOgrp-26rplc-64">
    <w:name w:val="cat-FIO grp-26 rplc-64"/>
    <w:basedOn w:val="DefaultParagraphFont"/>
  </w:style>
  <w:style w:type="character" w:customStyle="1" w:styleId="cat-FIOgrp-26rplc-65">
    <w:name w:val="cat-FIO grp-26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2A75-81E7-4D97-A4BD-72CB939E23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